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9345" w:type="dxa"/>
        <w:tblLook w:val="04A0" w:firstRow="1" w:lastRow="0" w:firstColumn="1" w:lastColumn="0" w:noHBand="0" w:noVBand="1"/>
      </w:tblPr>
      <w:tblGrid>
        <w:gridCol w:w="3255"/>
        <w:gridCol w:w="6090"/>
      </w:tblGrid>
      <w:tr w:rsidR="00CA66C9" w:rsidRPr="007538E7" w14:paraId="017312C1" w14:textId="77777777" w:rsidTr="00A54758">
        <w:trPr>
          <w:trHeight w:val="699"/>
        </w:trPr>
        <w:tc>
          <w:tcPr>
            <w:tcW w:w="3255" w:type="dxa"/>
            <w:shd w:val="clear" w:color="auto" w:fill="auto"/>
          </w:tcPr>
          <w:p w14:paraId="61398755" w14:textId="7E4F28EB" w:rsidR="00CA66C9" w:rsidRPr="007538E7" w:rsidRDefault="000538D1">
            <w:pPr>
              <w:spacing w:after="0" w:line="240" w:lineRule="auto"/>
              <w:rPr>
                <w:rFonts w:ascii="Times New Roman" w:hAnsi="Times New Roman" w:cs="Times New Roman"/>
              </w:rPr>
            </w:pPr>
            <w:r w:rsidRPr="007538E7">
              <w:rPr>
                <w:rFonts w:ascii="Times New Roman" w:hAnsi="Times New Roman" w:cs="Times New Roman"/>
                <w:lang w:val="kk-KZ"/>
              </w:rPr>
              <w:t>На</w:t>
            </w:r>
            <w:r w:rsidR="007538E7">
              <w:rPr>
                <w:rFonts w:ascii="Times New Roman" w:hAnsi="Times New Roman" w:cs="Times New Roman"/>
                <w:lang w:val="kk-KZ"/>
              </w:rPr>
              <w:t>и</w:t>
            </w:r>
            <w:r w:rsidRPr="007538E7">
              <w:rPr>
                <w:rFonts w:ascii="Times New Roman" w:hAnsi="Times New Roman" w:cs="Times New Roman"/>
                <w:lang w:val="kk-KZ"/>
              </w:rPr>
              <w:t xml:space="preserve">менование Проекта с ИРН номером </w:t>
            </w:r>
          </w:p>
        </w:tc>
        <w:tc>
          <w:tcPr>
            <w:tcW w:w="6089" w:type="dxa"/>
            <w:shd w:val="clear" w:color="auto" w:fill="auto"/>
          </w:tcPr>
          <w:p w14:paraId="48F5315A" w14:textId="56D6B222" w:rsidR="00CA66C9" w:rsidRPr="007538E7"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AP14870515 ГЕОЛОГИЧЕСКИЕ ПАЛЕООБСТАНОВКИ ТРИАСОВЫХ СТРУКТУР НАДСОЛЕВОГО НЕФТЕГАЗОНОСНОГО КОМПЛЕКСА ЮГО-ВОСТОКА ПРИКАСПИЙСКОЙ</w:t>
            </w:r>
          </w:p>
        </w:tc>
      </w:tr>
      <w:tr w:rsidR="00CA66C9" w:rsidRPr="007538E7" w14:paraId="2454D353" w14:textId="77777777" w:rsidTr="00A54758">
        <w:trPr>
          <w:trHeight w:val="694"/>
        </w:trPr>
        <w:tc>
          <w:tcPr>
            <w:tcW w:w="3255" w:type="dxa"/>
            <w:shd w:val="clear" w:color="auto" w:fill="auto"/>
          </w:tcPr>
          <w:p w14:paraId="36A32D69" w14:textId="77777777" w:rsidR="00CA66C9" w:rsidRPr="007538E7" w:rsidRDefault="000538D1">
            <w:pPr>
              <w:spacing w:after="0" w:line="240" w:lineRule="auto"/>
              <w:rPr>
                <w:rFonts w:ascii="Times New Roman" w:hAnsi="Times New Roman" w:cs="Times New Roman"/>
              </w:rPr>
            </w:pPr>
            <w:r w:rsidRPr="007538E7">
              <w:rPr>
                <w:rFonts w:ascii="Times New Roman" w:hAnsi="Times New Roman" w:cs="Times New Roman"/>
              </w:rPr>
              <w:t>Актуальность (не более 100 слов)</w:t>
            </w:r>
          </w:p>
        </w:tc>
        <w:tc>
          <w:tcPr>
            <w:tcW w:w="6089" w:type="dxa"/>
            <w:shd w:val="clear" w:color="auto" w:fill="auto"/>
          </w:tcPr>
          <w:p w14:paraId="7AE19918" w14:textId="569B2D38"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Предпосылками к выполнению работ являются результаты исследований, представленные в работе Глубинное строение и минеральные ресурсы Казахстана. Том 3. Даукеев С.Ж., Ужкенов Б.С., Абдулин А.А., Беспаев Х.А., Воцалевский Э.С., Любецкий В.Н., Мазуров А.К., Мирошниченко Л.А. Министерство энергетики и минеральных ресурсов Республики Казахстан. Комитет геологии и охраны недр. Алматы, </w:t>
            </w:r>
            <w:smartTag w:uri="urn:schemas-microsoft-com:office:smarttags" w:element="metricconverter">
              <w:smartTagPr>
                <w:attr w:name="ProductID" w:val="2002 г"/>
              </w:smartTagPr>
              <w:r w:rsidRPr="00471C73">
                <w:rPr>
                  <w:rFonts w:ascii="Times New Roman" w:hAnsi="Times New Roman" w:cs="Times New Roman"/>
                </w:rPr>
                <w:t>2002 г</w:t>
              </w:r>
            </w:smartTag>
            <w:r w:rsidRPr="00471C73">
              <w:rPr>
                <w:rFonts w:ascii="Times New Roman" w:hAnsi="Times New Roman" w:cs="Times New Roman"/>
              </w:rPr>
              <w:t>., исследования по Комплексному изучению осадочных бассейнов Казахстана за 2009-2011 гг. (Прикаспийский бассейн), выполненные по заказу Комитета геологии Министерства индустрии и новых технологий Республики Казахстан (Геологическое задание выдано АО НК «КазМунайГаз»), работа  «Особенности формирования природных резервуаров палеозойских отложений Прикаспийской впадины и оценка перспектив их нефтегазоносности и др.</w:t>
            </w:r>
          </w:p>
          <w:p w14:paraId="3BBB1B1D"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Для уточнения геологического строения надсолевого комплекса отложений, изучения особенностей осадконакопления, корреляции осадочных толщ, стратификации разреза на площади исследований будут  использованы материалы сейсмических  исследований, отработанных по методике МОГТ-2D в 70-90-е гг. общим объемом более 5000,00 п. км., данные МОГТ-3D в объеме </w:t>
            </w:r>
            <w:smartTag w:uri="urn:schemas-microsoft-com:office:smarttags" w:element="metricconverter">
              <w:smartTagPr>
                <w:attr w:name="ProductID" w:val="1500,00 км"/>
              </w:smartTagPr>
              <w:r w:rsidRPr="00471C73">
                <w:rPr>
                  <w:rFonts w:ascii="Times New Roman" w:hAnsi="Times New Roman" w:cs="Times New Roman"/>
                </w:rPr>
                <w:t>1500,00 км</w:t>
              </w:r>
            </w:smartTag>
            <w:r w:rsidRPr="00471C73">
              <w:rPr>
                <w:rFonts w:ascii="Times New Roman" w:hAnsi="Times New Roman" w:cs="Times New Roman"/>
              </w:rPr>
              <w:t>. кв., данные глубокого поисково-разведочного бурения более чем по 20 скважинам (1960–80  гг.), материалы геофизических исследований скважин чем по более чем 100 скважинам, результаты палинологических, стандартных и специальных исследований керна по 17 скважинам, пробуренным на надсолевой комплекс отложений.</w:t>
            </w:r>
          </w:p>
          <w:p w14:paraId="140C08DF"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Строение региональных карт и схем будет уточняться с использованием доступных сейсмических материалов в пределах изучаемой территории и привязаны в программе Petrel (Schlumberger™) по координатам лицензионных блоков интерактивной карты Комитета геологии и недропользования, координатам скважин, пробуренным в пределах территории и другим признакам. </w:t>
            </w:r>
          </w:p>
          <w:p w14:paraId="2CBD049E" w14:textId="3BECBFD4"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Продуктивный надсолевой комплекс имеет сложное геологическое строение в связи с активным соляным </w:t>
            </w:r>
            <w:proofErr w:type="spellStart"/>
            <w:r w:rsidRPr="00471C73">
              <w:rPr>
                <w:rFonts w:ascii="Times New Roman" w:hAnsi="Times New Roman" w:cs="Times New Roman"/>
              </w:rPr>
              <w:t>диапиризмом</w:t>
            </w:r>
            <w:proofErr w:type="spellEnd"/>
            <w:r w:rsidRPr="00471C73">
              <w:rPr>
                <w:rFonts w:ascii="Times New Roman" w:hAnsi="Times New Roman" w:cs="Times New Roman"/>
              </w:rPr>
              <w:t xml:space="preserve"> и залеганием продуктивных горизонты в интервале глубин от 200 до 3500 м. </w:t>
            </w:r>
            <w:bookmarkStart w:id="0" w:name="_Hlk35888820"/>
            <w:r w:rsidRPr="00471C73">
              <w:rPr>
                <w:rFonts w:ascii="Times New Roman" w:hAnsi="Times New Roman" w:cs="Times New Roman"/>
              </w:rPr>
              <w:t xml:space="preserve">Сложный характер строения и взаимоотношений литолого-стратиграфических комплексов пород по всему разрезу в совокупности с широкими вариациями типов ловушек углеводородов, неоднородностью состава, как коллекторов, так и перекрывающих толщ, затрудняют их идентификацию и картирование. Неоднозначность интерпретации геолого-геофизических материалов при построении структурных и геологических моделей, не отражающих реальное строение изучаемых площадей, отсутствие притоков нефти на ряде структур приводят к необходимости вновь обратиться к причинам сложившей ситуации, оценке и анализу условий формирования залежей нефти и газа в надсолевых отложениях </w:t>
            </w:r>
            <w:r w:rsidRPr="00471C73">
              <w:rPr>
                <w:rFonts w:ascii="Times New Roman" w:hAnsi="Times New Roman" w:cs="Times New Roman"/>
              </w:rPr>
              <w:lastRenderedPageBreak/>
              <w:t xml:space="preserve">в пределах юго-востока Прикаспийской впадины </w:t>
            </w:r>
            <w:bookmarkEnd w:id="0"/>
            <w:r w:rsidRPr="00471C73">
              <w:rPr>
                <w:rFonts w:ascii="Times New Roman" w:hAnsi="Times New Roman" w:cs="Times New Roman"/>
              </w:rPr>
              <w:t>чем определяется актуальность исследований.</w:t>
            </w:r>
          </w:p>
          <w:p w14:paraId="2D11F0EF" w14:textId="572E14A9" w:rsidR="00CA66C9" w:rsidRPr="007538E7" w:rsidRDefault="00CA66C9" w:rsidP="00471C73">
            <w:pPr>
              <w:spacing w:after="0" w:line="240" w:lineRule="auto"/>
              <w:jc w:val="both"/>
              <w:rPr>
                <w:rFonts w:ascii="Times New Roman" w:hAnsi="Times New Roman" w:cs="Times New Roman"/>
              </w:rPr>
            </w:pPr>
          </w:p>
        </w:tc>
      </w:tr>
      <w:tr w:rsidR="00CA66C9" w:rsidRPr="007538E7" w14:paraId="45919D0D" w14:textId="77777777" w:rsidTr="00A54758">
        <w:trPr>
          <w:trHeight w:val="561"/>
        </w:trPr>
        <w:tc>
          <w:tcPr>
            <w:tcW w:w="3255" w:type="dxa"/>
            <w:shd w:val="clear" w:color="auto" w:fill="auto"/>
          </w:tcPr>
          <w:p w14:paraId="653BCA1A" w14:textId="77777777" w:rsidR="00CA66C9" w:rsidRPr="007538E7" w:rsidRDefault="000538D1">
            <w:pPr>
              <w:spacing w:after="0" w:line="240" w:lineRule="auto"/>
              <w:rPr>
                <w:rFonts w:ascii="Times New Roman" w:hAnsi="Times New Roman" w:cs="Times New Roman"/>
              </w:rPr>
            </w:pPr>
            <w:r w:rsidRPr="007538E7">
              <w:rPr>
                <w:rFonts w:ascii="Times New Roman" w:hAnsi="Times New Roman" w:cs="Times New Roman"/>
              </w:rPr>
              <w:lastRenderedPageBreak/>
              <w:t>Цель (согласно заявке)</w:t>
            </w:r>
          </w:p>
        </w:tc>
        <w:tc>
          <w:tcPr>
            <w:tcW w:w="6089" w:type="dxa"/>
            <w:shd w:val="clear" w:color="auto" w:fill="auto"/>
          </w:tcPr>
          <w:p w14:paraId="6C60320A"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На основе комплексного анализа структурных, седиментационных, литолого-стратиграфических и палеогеографических особенностей развития Прикаспийского осадочного бассейна, обобщения мультидисциплинарных геолого-геофизических материалов, выявление сценариев формирования и закономерностей строения нефтегазовых залежей в триасовом надсолевом комплексе обосновать оптимальные направления нефтегазопоисковых работ. </w:t>
            </w:r>
          </w:p>
          <w:p w14:paraId="41C53511" w14:textId="1DDB876A" w:rsidR="00CA66C9" w:rsidRPr="007538E7" w:rsidRDefault="00CA66C9" w:rsidP="00471C73">
            <w:pPr>
              <w:spacing w:after="0" w:line="240" w:lineRule="auto"/>
              <w:jc w:val="both"/>
              <w:rPr>
                <w:rFonts w:ascii="Times New Roman" w:hAnsi="Times New Roman" w:cs="Times New Roman"/>
              </w:rPr>
            </w:pPr>
          </w:p>
        </w:tc>
      </w:tr>
      <w:tr w:rsidR="00CA66C9" w:rsidRPr="007538E7" w14:paraId="1E26F3B6" w14:textId="77777777" w:rsidTr="00A54758">
        <w:trPr>
          <w:trHeight w:val="413"/>
        </w:trPr>
        <w:tc>
          <w:tcPr>
            <w:tcW w:w="3255" w:type="dxa"/>
            <w:shd w:val="clear" w:color="auto" w:fill="auto"/>
          </w:tcPr>
          <w:p w14:paraId="7E42C752" w14:textId="77777777" w:rsidR="00CA66C9" w:rsidRPr="007538E7" w:rsidRDefault="000538D1">
            <w:pPr>
              <w:spacing w:after="0" w:line="240" w:lineRule="auto"/>
              <w:rPr>
                <w:rFonts w:ascii="Times New Roman" w:hAnsi="Times New Roman" w:cs="Times New Roman"/>
              </w:rPr>
            </w:pPr>
            <w:r w:rsidRPr="007538E7">
              <w:rPr>
                <w:rFonts w:ascii="Times New Roman" w:hAnsi="Times New Roman" w:cs="Times New Roman"/>
              </w:rPr>
              <w:t>Ожидаемые результаты</w:t>
            </w:r>
          </w:p>
        </w:tc>
        <w:tc>
          <w:tcPr>
            <w:tcW w:w="6089" w:type="dxa"/>
            <w:shd w:val="clear" w:color="auto" w:fill="auto"/>
          </w:tcPr>
          <w:p w14:paraId="35EFA91C" w14:textId="50B765A0"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По итогам реализации проекта будут</w:t>
            </w:r>
            <w:r w:rsidRPr="00471C73">
              <w:rPr>
                <w:rFonts w:ascii="Times New Roman" w:hAnsi="Times New Roman" w:cs="Times New Roman"/>
              </w:rPr>
              <w:t xml:space="preserve"> опубликованы статьи согласно требованиям конкурса, а т</w:t>
            </w:r>
            <w:r>
              <w:rPr>
                <w:rFonts w:ascii="Times New Roman" w:hAnsi="Times New Roman" w:cs="Times New Roman"/>
              </w:rPr>
              <w:t>а</w:t>
            </w:r>
            <w:r w:rsidRPr="00471C73">
              <w:rPr>
                <w:rFonts w:ascii="Times New Roman" w:hAnsi="Times New Roman" w:cs="Times New Roman"/>
              </w:rPr>
              <w:t>кже</w:t>
            </w:r>
          </w:p>
          <w:p w14:paraId="19967D44"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 построены цифровые структурные карты по основным отражающим границам подсолевого комплекса, соленосной толщи и надсолевых отложений Прикаспийского осадочного бассейна, охватывающей площадь более </w:t>
            </w:r>
            <w:smartTag w:uri="urn:schemas-microsoft-com:office:smarttags" w:element="metricconverter">
              <w:smartTagPr>
                <w:attr w:name="ProductID" w:val="500 000,00 км"/>
              </w:smartTagPr>
              <w:r w:rsidRPr="00471C73">
                <w:rPr>
                  <w:rFonts w:ascii="Times New Roman" w:hAnsi="Times New Roman" w:cs="Times New Roman"/>
                </w:rPr>
                <w:t>500 000,00 км</w:t>
              </w:r>
            </w:smartTag>
            <w:r w:rsidRPr="00471C73">
              <w:rPr>
                <w:rFonts w:ascii="Times New Roman" w:hAnsi="Times New Roman" w:cs="Times New Roman"/>
              </w:rPr>
              <w:t>. кв.;</w:t>
            </w:r>
          </w:p>
          <w:p w14:paraId="3D505DD0"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 построены цифровые структурные карты по выделенным потенциально нефтегазоносным ловушкам, выполнена их типизация; </w:t>
            </w:r>
          </w:p>
          <w:p w14:paraId="4F2BD2AC"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на основании построенных структурных карт выполнено геологическое моделирование осадочного бассейна и выделенных перспективных структур в надсолевом комплексе отложений;</w:t>
            </w:r>
          </w:p>
          <w:p w14:paraId="5F3DEFB7"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 − по материалам геофизических исследований скважин и данным анализов керна построены корреляционные схемы через основные нефтегазоносные зоны Прикаспийского осадочного бассейна, выполнена увязка стратиграфических подразделений в пределах изучаемых зон;</w:t>
            </w:r>
          </w:p>
          <w:p w14:paraId="66223A83" w14:textId="77777777" w:rsidR="00471C73"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даны рекомендации на проведение дальнейших исследований, в том числе, проведение поисково-разведочного бурения на выделенных перспективных структурах;</w:t>
            </w:r>
          </w:p>
          <w:p w14:paraId="62E59F8E" w14:textId="7826FC33" w:rsidR="00CA66C9" w:rsidRPr="00471C73" w:rsidRDefault="00471C73" w:rsidP="00471C73">
            <w:pPr>
              <w:spacing w:after="0" w:line="240" w:lineRule="auto"/>
              <w:jc w:val="both"/>
              <w:rPr>
                <w:rFonts w:ascii="Times New Roman" w:hAnsi="Times New Roman" w:cs="Times New Roman"/>
              </w:rPr>
            </w:pPr>
            <w:r w:rsidRPr="00471C73">
              <w:rPr>
                <w:rFonts w:ascii="Times New Roman" w:hAnsi="Times New Roman" w:cs="Times New Roman"/>
              </w:rPr>
              <w:t xml:space="preserve">− по результатам исследования фильтрационно-емкостных свойств пород-коллекторов даны рекомендации по проведению работ по применению технологий увеличения нефтеотдачи.   </w:t>
            </w:r>
          </w:p>
        </w:tc>
      </w:tr>
      <w:tr w:rsidR="00CA66C9" w:rsidRPr="007538E7" w14:paraId="284845F7" w14:textId="77777777" w:rsidTr="00A54758">
        <w:trPr>
          <w:trHeight w:val="561"/>
        </w:trPr>
        <w:tc>
          <w:tcPr>
            <w:tcW w:w="3255" w:type="dxa"/>
            <w:shd w:val="clear" w:color="auto" w:fill="auto"/>
          </w:tcPr>
          <w:p w14:paraId="576060E3" w14:textId="77777777" w:rsidR="00CA66C9" w:rsidRPr="007538E7" w:rsidRDefault="000538D1">
            <w:pPr>
              <w:spacing w:after="0" w:line="240" w:lineRule="auto"/>
              <w:rPr>
                <w:rFonts w:ascii="Times New Roman" w:hAnsi="Times New Roman" w:cs="Times New Roman"/>
              </w:rPr>
            </w:pPr>
            <w:r w:rsidRPr="007538E7">
              <w:rPr>
                <w:rFonts w:ascii="Times New Roman" w:hAnsi="Times New Roman" w:cs="Times New Roman"/>
              </w:rPr>
              <w:t>Достигнуты результаты</w:t>
            </w:r>
          </w:p>
        </w:tc>
        <w:tc>
          <w:tcPr>
            <w:tcW w:w="6089" w:type="dxa"/>
            <w:shd w:val="clear" w:color="auto" w:fill="auto"/>
          </w:tcPr>
          <w:p w14:paraId="5B17995E" w14:textId="77777777" w:rsidR="001E6458" w:rsidRDefault="00471C73" w:rsidP="00471C73">
            <w:pPr>
              <w:spacing w:after="0" w:line="240" w:lineRule="auto"/>
              <w:jc w:val="both"/>
              <w:rPr>
                <w:rFonts w:ascii="Times New Roman" w:hAnsi="Times New Roman"/>
              </w:rPr>
            </w:pPr>
            <w:r>
              <w:rPr>
                <w:rFonts w:ascii="Times New Roman" w:hAnsi="Times New Roman"/>
              </w:rPr>
              <w:t>Созда</w:t>
            </w:r>
            <w:r>
              <w:rPr>
                <w:rFonts w:ascii="Times New Roman" w:hAnsi="Times New Roman"/>
              </w:rPr>
              <w:t xml:space="preserve">ется </w:t>
            </w:r>
            <w:r>
              <w:rPr>
                <w:rFonts w:ascii="Times New Roman" w:hAnsi="Times New Roman"/>
              </w:rPr>
              <w:t>баз</w:t>
            </w:r>
            <w:r>
              <w:rPr>
                <w:rFonts w:ascii="Times New Roman" w:hAnsi="Times New Roman"/>
              </w:rPr>
              <w:t>а</w:t>
            </w:r>
            <w:r>
              <w:rPr>
                <w:rFonts w:ascii="Times New Roman" w:hAnsi="Times New Roman"/>
              </w:rPr>
              <w:t xml:space="preserve"> данных обработки и интерпретации данных геофизических исследований скважин по проекту в среде </w:t>
            </w:r>
            <w:r>
              <w:rPr>
                <w:rFonts w:ascii="Times New Roman" w:hAnsi="Times New Roman"/>
                <w:lang w:val="en-US"/>
              </w:rPr>
              <w:t>Petrel</w:t>
            </w:r>
            <w:r>
              <w:rPr>
                <w:rFonts w:ascii="Times New Roman" w:hAnsi="Times New Roman"/>
              </w:rPr>
              <w:t>.</w:t>
            </w:r>
          </w:p>
          <w:p w14:paraId="520BC318" w14:textId="33637EEB" w:rsidR="00471C73" w:rsidRPr="007538E7" w:rsidRDefault="00471C73" w:rsidP="00471C73">
            <w:pPr>
              <w:spacing w:after="0" w:line="240" w:lineRule="auto"/>
              <w:jc w:val="both"/>
              <w:rPr>
                <w:rFonts w:ascii="Times New Roman" w:eastAsia="MS Mincho" w:hAnsi="Times New Roman" w:cs="Times New Roman"/>
              </w:rPr>
            </w:pPr>
            <w:r>
              <w:rPr>
                <w:rFonts w:ascii="Times New Roman" w:hAnsi="Times New Roman"/>
              </w:rPr>
              <w:t>Подготовка исторических данных (сейсмические материалы, структурные карты, данные ГИС на бумажных носителях, …) для оцифровки и внесения в Базу данных Проекта.</w:t>
            </w:r>
          </w:p>
        </w:tc>
      </w:tr>
      <w:tr w:rsidR="00CA66C9" w:rsidRPr="007538E7" w14:paraId="7C5618C9" w14:textId="77777777" w:rsidTr="000538D1">
        <w:trPr>
          <w:trHeight w:val="841"/>
        </w:trPr>
        <w:tc>
          <w:tcPr>
            <w:tcW w:w="3255" w:type="dxa"/>
            <w:shd w:val="clear" w:color="auto" w:fill="auto"/>
          </w:tcPr>
          <w:p w14:paraId="77B0CAD3" w14:textId="77777777" w:rsidR="00CA66C9" w:rsidRPr="007538E7" w:rsidRDefault="000538D1">
            <w:pPr>
              <w:spacing w:after="0" w:line="240" w:lineRule="auto"/>
              <w:rPr>
                <w:rFonts w:ascii="Times New Roman" w:hAnsi="Times New Roman" w:cs="Times New Roman"/>
              </w:rPr>
            </w:pPr>
            <w:r w:rsidRPr="007538E7">
              <w:rPr>
                <w:rFonts w:ascii="Times New Roman" w:hAnsi="Times New Roman" w:cs="Times New Roman"/>
              </w:rPr>
              <w:t>Список полных ФИО членов исследовательской группы с их идентификаторами (</w:t>
            </w:r>
            <w:proofErr w:type="spellStart"/>
            <w:r w:rsidRPr="007538E7">
              <w:rPr>
                <w:rFonts w:ascii="Times New Roman" w:hAnsi="Times New Roman" w:cs="Times New Roman"/>
              </w:rPr>
              <w:t>Scopus</w:t>
            </w:r>
            <w:proofErr w:type="spellEnd"/>
            <w:r w:rsidRPr="007538E7">
              <w:rPr>
                <w:rFonts w:ascii="Times New Roman" w:hAnsi="Times New Roman" w:cs="Times New Roman"/>
              </w:rPr>
              <w:t xml:space="preserve"> </w:t>
            </w:r>
            <w:proofErr w:type="spellStart"/>
            <w:r w:rsidRPr="007538E7">
              <w:rPr>
                <w:rFonts w:ascii="Times New Roman" w:hAnsi="Times New Roman" w:cs="Times New Roman"/>
              </w:rPr>
              <w:t>Author</w:t>
            </w:r>
            <w:proofErr w:type="spellEnd"/>
            <w:r w:rsidRPr="007538E7">
              <w:rPr>
                <w:rFonts w:ascii="Times New Roman" w:hAnsi="Times New Roman" w:cs="Times New Roman"/>
              </w:rPr>
              <w:t xml:space="preserve"> ID, </w:t>
            </w:r>
            <w:proofErr w:type="spellStart"/>
            <w:r w:rsidRPr="007538E7">
              <w:rPr>
                <w:rFonts w:ascii="Times New Roman" w:hAnsi="Times New Roman" w:cs="Times New Roman"/>
              </w:rPr>
              <w:t>Researcher</w:t>
            </w:r>
            <w:proofErr w:type="spellEnd"/>
            <w:r w:rsidRPr="007538E7">
              <w:rPr>
                <w:rFonts w:ascii="Times New Roman" w:hAnsi="Times New Roman" w:cs="Times New Roman"/>
              </w:rPr>
              <w:t xml:space="preserve"> ID, ORCID, если имеются) и ссылками на соответствующие профили</w:t>
            </w:r>
          </w:p>
        </w:tc>
        <w:tc>
          <w:tcPr>
            <w:tcW w:w="6089" w:type="dxa"/>
            <w:shd w:val="clear" w:color="auto" w:fill="auto"/>
          </w:tcPr>
          <w:p w14:paraId="5C51876F" w14:textId="217D4037" w:rsidR="00CA66C9" w:rsidRDefault="00471C73" w:rsidP="000628E8">
            <w:pPr>
              <w:spacing w:after="0" w:line="240" w:lineRule="auto"/>
              <w:jc w:val="both"/>
              <w:rPr>
                <w:rFonts w:ascii="Times New Roman" w:hAnsi="Times New Roman"/>
              </w:rPr>
            </w:pPr>
            <w:r w:rsidRPr="000628E8">
              <w:rPr>
                <w:rFonts w:ascii="Times New Roman" w:hAnsi="Times New Roman"/>
                <w:b/>
                <w:bCs/>
              </w:rPr>
              <w:t xml:space="preserve">Ибрашев </w:t>
            </w:r>
            <w:proofErr w:type="spellStart"/>
            <w:r w:rsidRPr="000628E8">
              <w:rPr>
                <w:rFonts w:ascii="Times New Roman" w:hAnsi="Times New Roman"/>
                <w:b/>
                <w:bCs/>
              </w:rPr>
              <w:t>Кенжебек</w:t>
            </w:r>
            <w:proofErr w:type="spellEnd"/>
            <w:r w:rsidRPr="000628E8">
              <w:rPr>
                <w:rFonts w:ascii="Times New Roman" w:hAnsi="Times New Roman"/>
                <w:b/>
                <w:bCs/>
              </w:rPr>
              <w:t xml:space="preserve"> </w:t>
            </w:r>
            <w:proofErr w:type="spellStart"/>
            <w:r w:rsidRPr="000628E8">
              <w:rPr>
                <w:rFonts w:ascii="Times New Roman" w:hAnsi="Times New Roman"/>
                <w:b/>
                <w:bCs/>
              </w:rPr>
              <w:t>Ниязович</w:t>
            </w:r>
            <w:proofErr w:type="spellEnd"/>
            <w:r w:rsidR="000628E8" w:rsidRPr="000628E8">
              <w:rPr>
                <w:rFonts w:ascii="Times New Roman" w:hAnsi="Times New Roman"/>
                <w:b/>
                <w:bCs/>
              </w:rPr>
              <w:t>,</w:t>
            </w:r>
            <w:r w:rsidR="000628E8" w:rsidRPr="000628E8">
              <w:rPr>
                <w:rFonts w:ascii="Times New Roman" w:hAnsi="Times New Roman"/>
              </w:rPr>
              <w:t xml:space="preserve"> </w:t>
            </w:r>
            <w:r w:rsidR="000628E8" w:rsidRPr="000628E8">
              <w:rPr>
                <w:rFonts w:ascii="Times New Roman" w:hAnsi="Times New Roman"/>
              </w:rPr>
              <w:t>h-</w:t>
            </w:r>
            <w:proofErr w:type="spellStart"/>
            <w:r w:rsidR="000628E8" w:rsidRPr="000628E8">
              <w:rPr>
                <w:rFonts w:ascii="Times New Roman" w:hAnsi="Times New Roman"/>
              </w:rPr>
              <w:t>index</w:t>
            </w:r>
            <w:proofErr w:type="spellEnd"/>
            <w:r w:rsidR="000628E8" w:rsidRPr="000628E8">
              <w:rPr>
                <w:rFonts w:ascii="Times New Roman" w:hAnsi="Times New Roman"/>
              </w:rPr>
              <w:t xml:space="preserve"> 1.</w:t>
            </w:r>
            <w:r w:rsidR="000628E8" w:rsidRPr="000628E8">
              <w:rPr>
                <w:rFonts w:ascii="Times New Roman" w:hAnsi="Times New Roman"/>
              </w:rPr>
              <w:t xml:space="preserve"> </w:t>
            </w:r>
            <w:r w:rsidR="000628E8" w:rsidRPr="000628E8">
              <w:rPr>
                <w:rFonts w:ascii="Times New Roman" w:hAnsi="Times New Roman"/>
              </w:rPr>
              <w:t>Scopus</w:t>
            </w:r>
            <w:r w:rsidR="000628E8" w:rsidRPr="000628E8">
              <w:rPr>
                <w:rFonts w:ascii="Times New Roman" w:hAnsi="Times New Roman"/>
              </w:rPr>
              <w:t xml:space="preserve"> ID  </w:t>
            </w:r>
            <w:r w:rsidR="000628E8" w:rsidRPr="000628E8">
              <w:rPr>
                <w:rFonts w:ascii="Times New Roman" w:hAnsi="Times New Roman"/>
              </w:rPr>
              <w:t>57210290727</w:t>
            </w:r>
            <w:r w:rsidR="000628E8" w:rsidRPr="000628E8">
              <w:rPr>
                <w:rFonts w:ascii="Times New Roman" w:hAnsi="Times New Roman"/>
              </w:rPr>
              <w:t xml:space="preserve">, </w:t>
            </w:r>
            <w:hyperlink r:id="rId5" w:tgtFrame="_blank" w:history="1">
              <w:r w:rsidR="000628E8" w:rsidRPr="000628E8">
                <w:rPr>
                  <w:rFonts w:ascii="Times New Roman" w:hAnsi="Times New Roman"/>
                </w:rPr>
                <w:t xml:space="preserve">ORCID ID </w:t>
              </w:r>
              <w:r w:rsidR="000628E8" w:rsidRPr="000628E8">
                <w:rPr>
                  <w:rFonts w:ascii="Times New Roman" w:hAnsi="Times New Roman"/>
                </w:rPr>
                <w:t>0000-0002-2555-9340</w:t>
              </w:r>
            </w:hyperlink>
            <w:r w:rsidR="000538D1">
              <w:rPr>
                <w:rFonts w:ascii="Times New Roman" w:hAnsi="Times New Roman"/>
              </w:rPr>
              <w:t xml:space="preserve">. </w:t>
            </w:r>
          </w:p>
          <w:p w14:paraId="5D15533F" w14:textId="06534F6E" w:rsidR="000538D1" w:rsidRPr="000628E8" w:rsidRDefault="000538D1" w:rsidP="000628E8">
            <w:pPr>
              <w:spacing w:after="0" w:line="240" w:lineRule="auto"/>
              <w:jc w:val="both"/>
              <w:rPr>
                <w:rFonts w:ascii="Times New Roman" w:hAnsi="Times New Roman"/>
              </w:rPr>
            </w:pPr>
            <w:r w:rsidRPr="000538D1">
              <w:rPr>
                <w:rFonts w:ascii="Times New Roman" w:hAnsi="Times New Roman"/>
              </w:rPr>
              <w:t>https://www.scopus.com/authid/detail.uri?authorId=57210290727</w:t>
            </w:r>
          </w:p>
          <w:p w14:paraId="16260C9D" w14:textId="451AE655" w:rsidR="00471C73" w:rsidRDefault="00471C73" w:rsidP="000628E8">
            <w:pPr>
              <w:spacing w:after="0" w:line="240" w:lineRule="auto"/>
              <w:jc w:val="both"/>
              <w:rPr>
                <w:rFonts w:ascii="Times New Roman" w:hAnsi="Times New Roman"/>
              </w:rPr>
            </w:pPr>
            <w:r w:rsidRPr="000628E8">
              <w:rPr>
                <w:rFonts w:ascii="Times New Roman" w:hAnsi="Times New Roman"/>
                <w:b/>
                <w:bCs/>
              </w:rPr>
              <w:t>Жемчужников Вячеслав Георгиевич</w:t>
            </w:r>
            <w:r w:rsidR="000628E8" w:rsidRPr="000628E8">
              <w:rPr>
                <w:rFonts w:ascii="Times New Roman" w:hAnsi="Times New Roman"/>
              </w:rPr>
              <w:t xml:space="preserve">, </w:t>
            </w:r>
            <w:r w:rsidR="000628E8" w:rsidRPr="000628E8">
              <w:rPr>
                <w:rFonts w:ascii="Times New Roman" w:hAnsi="Times New Roman"/>
              </w:rPr>
              <w:t>h-index 8</w:t>
            </w:r>
            <w:r w:rsidR="000628E8" w:rsidRPr="000628E8">
              <w:rPr>
                <w:rFonts w:ascii="Times New Roman" w:hAnsi="Times New Roman"/>
              </w:rPr>
              <w:t xml:space="preserve">. </w:t>
            </w:r>
            <w:r w:rsidR="000628E8" w:rsidRPr="000628E8">
              <w:rPr>
                <w:rFonts w:ascii="Times New Roman" w:hAnsi="Times New Roman"/>
              </w:rPr>
              <w:t>Scopus ID</w:t>
            </w:r>
            <w:r w:rsidR="000628E8" w:rsidRPr="000628E8">
              <w:rPr>
                <w:rFonts w:ascii="Times New Roman" w:hAnsi="Times New Roman"/>
              </w:rPr>
              <w:t xml:space="preserve"> </w:t>
            </w:r>
            <w:r w:rsidR="000628E8" w:rsidRPr="000628E8">
              <w:rPr>
                <w:rFonts w:ascii="Times New Roman" w:hAnsi="Times New Roman"/>
              </w:rPr>
              <w:t>6506519046</w:t>
            </w:r>
            <w:r w:rsidR="000628E8" w:rsidRPr="000628E8">
              <w:rPr>
                <w:rFonts w:ascii="Times New Roman" w:hAnsi="Times New Roman"/>
              </w:rPr>
              <w:t xml:space="preserve">. </w:t>
            </w:r>
            <w:r w:rsidR="000628E8" w:rsidRPr="000628E8">
              <w:rPr>
                <w:rFonts w:ascii="Times New Roman" w:hAnsi="Times New Roman"/>
              </w:rPr>
              <w:t>ORCID</w:t>
            </w:r>
            <w:r w:rsidR="000628E8" w:rsidRPr="000628E8">
              <w:rPr>
                <w:rFonts w:ascii="Times New Roman" w:hAnsi="Times New Roman"/>
              </w:rPr>
              <w:t xml:space="preserve"> </w:t>
            </w:r>
            <w:r w:rsidR="000628E8" w:rsidRPr="000628E8">
              <w:rPr>
                <w:rFonts w:ascii="Times New Roman" w:hAnsi="Times New Roman"/>
              </w:rPr>
              <w:t>0000-0002-1729-0038</w:t>
            </w:r>
          </w:p>
          <w:p w14:paraId="34032DA3" w14:textId="3B0DFB53" w:rsidR="000538D1" w:rsidRPr="000538D1" w:rsidRDefault="000538D1" w:rsidP="000628E8">
            <w:pPr>
              <w:spacing w:after="0" w:line="240" w:lineRule="auto"/>
              <w:jc w:val="both"/>
              <w:rPr>
                <w:rFonts w:ascii="Times New Roman" w:hAnsi="Times New Roman"/>
              </w:rPr>
            </w:pPr>
            <w:r w:rsidRPr="000538D1">
              <w:rPr>
                <w:rFonts w:ascii="Times New Roman" w:hAnsi="Times New Roman"/>
                <w:lang w:val="en-US"/>
              </w:rPr>
              <w:t>https</w:t>
            </w:r>
            <w:r w:rsidRPr="000538D1">
              <w:rPr>
                <w:rFonts w:ascii="Times New Roman" w:hAnsi="Times New Roman"/>
              </w:rPr>
              <w:t>://</w:t>
            </w:r>
            <w:r w:rsidRPr="000538D1">
              <w:rPr>
                <w:rFonts w:ascii="Times New Roman" w:hAnsi="Times New Roman"/>
                <w:lang w:val="en-US"/>
              </w:rPr>
              <w:t>www</w:t>
            </w:r>
            <w:r w:rsidRPr="000538D1">
              <w:rPr>
                <w:rFonts w:ascii="Times New Roman" w:hAnsi="Times New Roman"/>
              </w:rPr>
              <w:t>.</w:t>
            </w:r>
            <w:proofErr w:type="spellStart"/>
            <w:r w:rsidRPr="000538D1">
              <w:rPr>
                <w:rFonts w:ascii="Times New Roman" w:hAnsi="Times New Roman"/>
                <w:lang w:val="en-US"/>
              </w:rPr>
              <w:t>scopus</w:t>
            </w:r>
            <w:proofErr w:type="spellEnd"/>
            <w:r w:rsidRPr="000538D1">
              <w:rPr>
                <w:rFonts w:ascii="Times New Roman" w:hAnsi="Times New Roman"/>
              </w:rPr>
              <w:t>.</w:t>
            </w:r>
            <w:r w:rsidRPr="000538D1">
              <w:rPr>
                <w:rFonts w:ascii="Times New Roman" w:hAnsi="Times New Roman"/>
                <w:lang w:val="en-US"/>
              </w:rPr>
              <w:t>com</w:t>
            </w:r>
            <w:r w:rsidRPr="000538D1">
              <w:rPr>
                <w:rFonts w:ascii="Times New Roman" w:hAnsi="Times New Roman"/>
              </w:rPr>
              <w:t>/</w:t>
            </w:r>
            <w:proofErr w:type="spellStart"/>
            <w:r w:rsidRPr="000538D1">
              <w:rPr>
                <w:rFonts w:ascii="Times New Roman" w:hAnsi="Times New Roman"/>
                <w:lang w:val="en-US"/>
              </w:rPr>
              <w:t>authid</w:t>
            </w:r>
            <w:proofErr w:type="spellEnd"/>
            <w:r w:rsidRPr="000538D1">
              <w:rPr>
                <w:rFonts w:ascii="Times New Roman" w:hAnsi="Times New Roman"/>
              </w:rPr>
              <w:t>/</w:t>
            </w:r>
            <w:r w:rsidRPr="000538D1">
              <w:rPr>
                <w:rFonts w:ascii="Times New Roman" w:hAnsi="Times New Roman"/>
                <w:lang w:val="en-US"/>
              </w:rPr>
              <w:t>detail</w:t>
            </w:r>
            <w:r w:rsidRPr="000538D1">
              <w:rPr>
                <w:rFonts w:ascii="Times New Roman" w:hAnsi="Times New Roman"/>
              </w:rPr>
              <w:t>.</w:t>
            </w:r>
            <w:proofErr w:type="spellStart"/>
            <w:r w:rsidRPr="000538D1">
              <w:rPr>
                <w:rFonts w:ascii="Times New Roman" w:hAnsi="Times New Roman"/>
                <w:lang w:val="en-US"/>
              </w:rPr>
              <w:t>uri</w:t>
            </w:r>
            <w:proofErr w:type="spellEnd"/>
            <w:r w:rsidRPr="000538D1">
              <w:rPr>
                <w:rFonts w:ascii="Times New Roman" w:hAnsi="Times New Roman"/>
              </w:rPr>
              <w:t>?</w:t>
            </w:r>
            <w:proofErr w:type="spellStart"/>
            <w:r w:rsidRPr="000538D1">
              <w:rPr>
                <w:rFonts w:ascii="Times New Roman" w:hAnsi="Times New Roman"/>
                <w:lang w:val="en-US"/>
              </w:rPr>
              <w:t>authorId</w:t>
            </w:r>
            <w:proofErr w:type="spellEnd"/>
            <w:r w:rsidRPr="000538D1">
              <w:rPr>
                <w:rFonts w:ascii="Times New Roman" w:hAnsi="Times New Roman"/>
              </w:rPr>
              <w:t>=6506519046</w:t>
            </w:r>
          </w:p>
          <w:p w14:paraId="34692611" w14:textId="226F6DD4" w:rsidR="000628E8" w:rsidRDefault="000628E8" w:rsidP="000628E8">
            <w:pPr>
              <w:spacing w:after="0" w:line="240" w:lineRule="auto"/>
              <w:jc w:val="both"/>
              <w:rPr>
                <w:rFonts w:ascii="Times New Roman" w:hAnsi="Times New Roman"/>
              </w:rPr>
            </w:pPr>
            <w:r w:rsidRPr="000628E8">
              <w:rPr>
                <w:rFonts w:ascii="Times New Roman" w:hAnsi="Times New Roman"/>
                <w:b/>
                <w:bCs/>
              </w:rPr>
              <w:t>Ахметжанов Айтбек Жамсатович</w:t>
            </w:r>
            <w:r w:rsidRPr="000628E8">
              <w:rPr>
                <w:rFonts w:ascii="Times New Roman" w:hAnsi="Times New Roman"/>
              </w:rPr>
              <w:t xml:space="preserve">, </w:t>
            </w:r>
            <w:r w:rsidRPr="000628E8">
              <w:rPr>
                <w:rFonts w:ascii="Times New Roman" w:hAnsi="Times New Roman"/>
              </w:rPr>
              <w:t>h-</w:t>
            </w:r>
            <w:proofErr w:type="spellStart"/>
            <w:r w:rsidRPr="000628E8">
              <w:rPr>
                <w:rFonts w:ascii="Times New Roman" w:hAnsi="Times New Roman"/>
              </w:rPr>
              <w:t>index</w:t>
            </w:r>
            <w:proofErr w:type="spellEnd"/>
            <w:r w:rsidRPr="000628E8">
              <w:rPr>
                <w:rFonts w:ascii="Times New Roman" w:hAnsi="Times New Roman"/>
              </w:rPr>
              <w:t xml:space="preserve"> 1</w:t>
            </w:r>
            <w:r w:rsidRPr="000628E8">
              <w:rPr>
                <w:rFonts w:ascii="Times New Roman" w:hAnsi="Times New Roman"/>
              </w:rPr>
              <w:t xml:space="preserve">. </w:t>
            </w:r>
            <w:r w:rsidRPr="000628E8">
              <w:rPr>
                <w:rFonts w:ascii="Times New Roman" w:hAnsi="Times New Roman"/>
              </w:rPr>
              <w:t>Scopus ID 57196274318</w:t>
            </w:r>
            <w:r w:rsidRPr="000628E8">
              <w:rPr>
                <w:rFonts w:ascii="Times New Roman" w:hAnsi="Times New Roman"/>
              </w:rPr>
              <w:t xml:space="preserve">. </w:t>
            </w:r>
            <w:r w:rsidRPr="000628E8">
              <w:rPr>
                <w:rFonts w:ascii="Times New Roman" w:hAnsi="Times New Roman"/>
              </w:rPr>
              <w:t>ORCID ID 0000-0002-2555-9340</w:t>
            </w:r>
          </w:p>
          <w:p w14:paraId="27D52D37" w14:textId="2A26EE16" w:rsidR="000538D1" w:rsidRPr="000628E8" w:rsidRDefault="000538D1" w:rsidP="000628E8">
            <w:pPr>
              <w:spacing w:after="0" w:line="240" w:lineRule="auto"/>
              <w:jc w:val="both"/>
              <w:rPr>
                <w:rFonts w:ascii="Times New Roman" w:hAnsi="Times New Roman"/>
              </w:rPr>
            </w:pPr>
            <w:r w:rsidRPr="000538D1">
              <w:rPr>
                <w:rFonts w:ascii="Times New Roman" w:hAnsi="Times New Roman"/>
              </w:rPr>
              <w:t>https://www.scopus.com/authid/detail.uri?authorId=57196274318</w:t>
            </w:r>
          </w:p>
          <w:p w14:paraId="565B22CB" w14:textId="60498EBA" w:rsidR="00471C73" w:rsidRPr="000538D1" w:rsidRDefault="00471C73" w:rsidP="000628E8">
            <w:pPr>
              <w:spacing w:after="0" w:line="240" w:lineRule="auto"/>
              <w:jc w:val="both"/>
              <w:rPr>
                <w:rFonts w:ascii="Times New Roman" w:hAnsi="Times New Roman"/>
                <w:b/>
                <w:bCs/>
              </w:rPr>
            </w:pPr>
            <w:proofErr w:type="spellStart"/>
            <w:r w:rsidRPr="000538D1">
              <w:rPr>
                <w:rFonts w:ascii="Times New Roman" w:hAnsi="Times New Roman"/>
                <w:b/>
                <w:bCs/>
              </w:rPr>
              <w:t>Шапиев</w:t>
            </w:r>
            <w:proofErr w:type="spellEnd"/>
            <w:r w:rsidRPr="000538D1">
              <w:rPr>
                <w:rFonts w:ascii="Times New Roman" w:hAnsi="Times New Roman"/>
                <w:b/>
                <w:bCs/>
              </w:rPr>
              <w:t xml:space="preserve"> Ринат </w:t>
            </w:r>
            <w:proofErr w:type="spellStart"/>
            <w:r w:rsidR="000538D1" w:rsidRPr="000538D1">
              <w:rPr>
                <w:rFonts w:ascii="Times New Roman" w:hAnsi="Times New Roman"/>
                <w:b/>
                <w:bCs/>
              </w:rPr>
              <w:t>Заиндинович</w:t>
            </w:r>
            <w:proofErr w:type="spellEnd"/>
          </w:p>
          <w:p w14:paraId="0982A795" w14:textId="4EDF35DD" w:rsidR="00471C73" w:rsidRDefault="00471C73" w:rsidP="000628E8">
            <w:pPr>
              <w:spacing w:after="0" w:line="240" w:lineRule="auto"/>
              <w:jc w:val="both"/>
              <w:rPr>
                <w:rFonts w:ascii="Times New Roman" w:hAnsi="Times New Roman"/>
              </w:rPr>
            </w:pPr>
            <w:r w:rsidRPr="000538D1">
              <w:rPr>
                <w:rFonts w:ascii="Times New Roman" w:hAnsi="Times New Roman"/>
                <w:b/>
                <w:bCs/>
              </w:rPr>
              <w:t xml:space="preserve">Ахметжанова </w:t>
            </w:r>
            <w:proofErr w:type="spellStart"/>
            <w:r w:rsidRPr="000538D1">
              <w:rPr>
                <w:rFonts w:ascii="Times New Roman" w:hAnsi="Times New Roman"/>
                <w:b/>
                <w:bCs/>
              </w:rPr>
              <w:t>Гау</w:t>
            </w:r>
            <w:proofErr w:type="spellEnd"/>
            <w:r w:rsidRPr="000538D1">
              <w:rPr>
                <w:rFonts w:ascii="Times New Roman" w:hAnsi="Times New Roman"/>
                <w:b/>
                <w:bCs/>
                <w:lang w:val="en-US"/>
              </w:rPr>
              <w:t>h</w:t>
            </w:r>
            <w:r w:rsidRPr="000538D1">
              <w:rPr>
                <w:rFonts w:ascii="Times New Roman" w:hAnsi="Times New Roman"/>
                <w:b/>
                <w:bCs/>
              </w:rPr>
              <w:t xml:space="preserve">ар </w:t>
            </w:r>
            <w:proofErr w:type="spellStart"/>
            <w:r w:rsidRPr="000538D1">
              <w:rPr>
                <w:rFonts w:ascii="Times New Roman" w:hAnsi="Times New Roman"/>
                <w:b/>
                <w:bCs/>
              </w:rPr>
              <w:t>Айтбекқызы</w:t>
            </w:r>
            <w:proofErr w:type="spellEnd"/>
            <w:r w:rsidR="000628E8" w:rsidRPr="000538D1">
              <w:rPr>
                <w:rFonts w:ascii="Times New Roman" w:hAnsi="Times New Roman"/>
              </w:rPr>
              <w:t xml:space="preserve">, </w:t>
            </w:r>
            <w:r w:rsidR="000628E8" w:rsidRPr="000538D1">
              <w:rPr>
                <w:rFonts w:ascii="Times New Roman" w:hAnsi="Times New Roman"/>
                <w:lang w:val="en-US"/>
              </w:rPr>
              <w:t>h</w:t>
            </w:r>
            <w:r w:rsidR="000628E8" w:rsidRPr="000538D1">
              <w:rPr>
                <w:rFonts w:ascii="Times New Roman" w:hAnsi="Times New Roman"/>
              </w:rPr>
              <w:t>-</w:t>
            </w:r>
            <w:r w:rsidR="000628E8" w:rsidRPr="000538D1">
              <w:rPr>
                <w:rFonts w:ascii="Times New Roman" w:hAnsi="Times New Roman"/>
                <w:lang w:val="en-US"/>
              </w:rPr>
              <w:t>index </w:t>
            </w:r>
            <w:r w:rsidR="000628E8" w:rsidRPr="000538D1">
              <w:rPr>
                <w:rFonts w:ascii="Times New Roman" w:hAnsi="Times New Roman"/>
              </w:rPr>
              <w:t>2</w:t>
            </w:r>
            <w:r w:rsidR="000628E8" w:rsidRPr="000538D1">
              <w:rPr>
                <w:rFonts w:ascii="Times New Roman" w:hAnsi="Times New Roman"/>
              </w:rPr>
              <w:t xml:space="preserve">/ </w:t>
            </w:r>
            <w:r w:rsidR="000628E8" w:rsidRPr="000538D1">
              <w:rPr>
                <w:rFonts w:ascii="Times New Roman" w:hAnsi="Times New Roman"/>
                <w:lang w:val="en-US"/>
              </w:rPr>
              <w:t>Scopus</w:t>
            </w:r>
            <w:r w:rsidR="000628E8" w:rsidRPr="000538D1">
              <w:rPr>
                <w:rFonts w:ascii="Times New Roman" w:hAnsi="Times New Roman"/>
              </w:rPr>
              <w:t xml:space="preserve"> </w:t>
            </w:r>
            <w:r w:rsidR="000628E8" w:rsidRPr="000538D1">
              <w:rPr>
                <w:rFonts w:ascii="Times New Roman" w:hAnsi="Times New Roman"/>
                <w:lang w:val="en-US"/>
              </w:rPr>
              <w:t>ID</w:t>
            </w:r>
            <w:r w:rsidR="000628E8" w:rsidRPr="000538D1">
              <w:rPr>
                <w:rFonts w:ascii="Times New Roman" w:hAnsi="Times New Roman"/>
              </w:rPr>
              <w:t xml:space="preserve"> 56669730400</w:t>
            </w:r>
            <w:r w:rsidR="000628E8" w:rsidRPr="000538D1">
              <w:rPr>
                <w:rFonts w:ascii="Times New Roman" w:hAnsi="Times New Roman"/>
              </w:rPr>
              <w:t>/</w:t>
            </w:r>
            <w:r w:rsidR="000538D1" w:rsidRPr="000538D1">
              <w:rPr>
                <w:rFonts w:ascii="Times New Roman" w:hAnsi="Times New Roman"/>
              </w:rPr>
              <w:t xml:space="preserve"> </w:t>
            </w:r>
            <w:r w:rsidR="000628E8" w:rsidRPr="000628E8">
              <w:rPr>
                <w:rFonts w:ascii="Times New Roman" w:hAnsi="Times New Roman"/>
              </w:rPr>
              <w:t>ORCID ID</w:t>
            </w:r>
            <w:r w:rsidR="000538D1" w:rsidRPr="000538D1">
              <w:rPr>
                <w:rFonts w:ascii="Times New Roman" w:hAnsi="Times New Roman"/>
              </w:rPr>
              <w:t xml:space="preserve"> </w:t>
            </w:r>
            <w:hyperlink r:id="rId6" w:history="1">
              <w:r w:rsidR="000628E8" w:rsidRPr="000628E8">
                <w:rPr>
                  <w:rFonts w:ascii="Times New Roman" w:hAnsi="Times New Roman"/>
                </w:rPr>
                <w:t>0000-0003-0437-8820</w:t>
              </w:r>
            </w:hyperlink>
          </w:p>
          <w:p w14:paraId="64223719" w14:textId="43CCE3C0" w:rsidR="000538D1" w:rsidRPr="000628E8" w:rsidRDefault="000538D1" w:rsidP="000628E8">
            <w:pPr>
              <w:spacing w:after="0" w:line="240" w:lineRule="auto"/>
              <w:jc w:val="both"/>
              <w:rPr>
                <w:rFonts w:ascii="Times New Roman" w:hAnsi="Times New Roman"/>
              </w:rPr>
            </w:pPr>
            <w:r w:rsidRPr="000538D1">
              <w:rPr>
                <w:rFonts w:ascii="Times New Roman" w:hAnsi="Times New Roman"/>
              </w:rPr>
              <w:t>https://www.scopus.com/authid/detail.uri?authorId=56669730400</w:t>
            </w:r>
          </w:p>
          <w:p w14:paraId="701F6269" w14:textId="77E31F55" w:rsidR="000628E8" w:rsidRPr="000538D1" w:rsidRDefault="000628E8" w:rsidP="000628E8">
            <w:pPr>
              <w:spacing w:after="0" w:line="240" w:lineRule="auto"/>
              <w:jc w:val="both"/>
              <w:rPr>
                <w:rFonts w:ascii="Times New Roman" w:hAnsi="Times New Roman"/>
                <w:b/>
                <w:bCs/>
              </w:rPr>
            </w:pPr>
            <w:proofErr w:type="spellStart"/>
            <w:r w:rsidRPr="000538D1">
              <w:rPr>
                <w:rFonts w:ascii="Times New Roman" w:hAnsi="Times New Roman"/>
                <w:b/>
                <w:bCs/>
              </w:rPr>
              <w:lastRenderedPageBreak/>
              <w:t>Карамурзиев</w:t>
            </w:r>
            <w:proofErr w:type="spellEnd"/>
            <w:r w:rsidRPr="000538D1">
              <w:rPr>
                <w:rFonts w:ascii="Times New Roman" w:hAnsi="Times New Roman"/>
                <w:b/>
                <w:bCs/>
              </w:rPr>
              <w:t xml:space="preserve"> Нурислам </w:t>
            </w:r>
            <w:proofErr w:type="spellStart"/>
            <w:r w:rsidRPr="000538D1">
              <w:rPr>
                <w:rFonts w:ascii="Times New Roman" w:hAnsi="Times New Roman"/>
                <w:b/>
                <w:bCs/>
              </w:rPr>
              <w:t>Беркинулы</w:t>
            </w:r>
            <w:proofErr w:type="spellEnd"/>
          </w:p>
          <w:p w14:paraId="0FF10E46" w14:textId="77777777" w:rsidR="00471C73" w:rsidRPr="000538D1" w:rsidRDefault="00471C73" w:rsidP="000628E8">
            <w:pPr>
              <w:spacing w:after="0" w:line="240" w:lineRule="auto"/>
              <w:jc w:val="both"/>
              <w:rPr>
                <w:rFonts w:ascii="Times New Roman" w:hAnsi="Times New Roman"/>
                <w:b/>
                <w:bCs/>
              </w:rPr>
            </w:pPr>
            <w:proofErr w:type="spellStart"/>
            <w:r w:rsidRPr="000538D1">
              <w:rPr>
                <w:rFonts w:ascii="Times New Roman" w:hAnsi="Times New Roman"/>
                <w:b/>
                <w:bCs/>
              </w:rPr>
              <w:t>Улханова</w:t>
            </w:r>
            <w:proofErr w:type="spellEnd"/>
            <w:r w:rsidRPr="000538D1">
              <w:rPr>
                <w:rFonts w:ascii="Times New Roman" w:hAnsi="Times New Roman"/>
                <w:b/>
                <w:bCs/>
              </w:rPr>
              <w:t xml:space="preserve"> Гульжан </w:t>
            </w:r>
            <w:proofErr w:type="spellStart"/>
            <w:r w:rsidRPr="000538D1">
              <w:rPr>
                <w:rFonts w:ascii="Times New Roman" w:hAnsi="Times New Roman"/>
                <w:b/>
                <w:bCs/>
              </w:rPr>
              <w:t>Максутовна</w:t>
            </w:r>
            <w:proofErr w:type="spellEnd"/>
          </w:p>
          <w:p w14:paraId="45B99A02" w14:textId="2DBD4196" w:rsidR="00471C73" w:rsidRPr="000628E8" w:rsidRDefault="00471C73" w:rsidP="000628E8">
            <w:pPr>
              <w:spacing w:after="0" w:line="240" w:lineRule="auto"/>
              <w:jc w:val="both"/>
              <w:rPr>
                <w:rFonts w:ascii="Times New Roman" w:hAnsi="Times New Roman"/>
              </w:rPr>
            </w:pPr>
            <w:proofErr w:type="spellStart"/>
            <w:r w:rsidRPr="000538D1">
              <w:rPr>
                <w:rFonts w:ascii="Times New Roman" w:hAnsi="Times New Roman"/>
                <w:b/>
                <w:bCs/>
              </w:rPr>
              <w:t>Досан</w:t>
            </w:r>
            <w:proofErr w:type="spellEnd"/>
            <w:r w:rsidRPr="000538D1">
              <w:rPr>
                <w:rFonts w:ascii="Times New Roman" w:hAnsi="Times New Roman"/>
                <w:b/>
                <w:bCs/>
              </w:rPr>
              <w:t xml:space="preserve"> </w:t>
            </w:r>
            <w:proofErr w:type="spellStart"/>
            <w:r w:rsidRPr="000538D1">
              <w:rPr>
                <w:rFonts w:ascii="Times New Roman" w:hAnsi="Times New Roman"/>
                <w:b/>
                <w:bCs/>
              </w:rPr>
              <w:t>Айзада</w:t>
            </w:r>
            <w:proofErr w:type="spellEnd"/>
            <w:r w:rsidRPr="000538D1">
              <w:rPr>
                <w:rFonts w:ascii="Times New Roman" w:hAnsi="Times New Roman"/>
                <w:b/>
                <w:bCs/>
              </w:rPr>
              <w:t xml:space="preserve"> </w:t>
            </w:r>
            <w:proofErr w:type="spellStart"/>
            <w:r w:rsidRPr="000538D1">
              <w:rPr>
                <w:rFonts w:ascii="Times New Roman" w:hAnsi="Times New Roman"/>
                <w:b/>
                <w:bCs/>
              </w:rPr>
              <w:t>Досановна</w:t>
            </w:r>
            <w:proofErr w:type="spellEnd"/>
          </w:p>
        </w:tc>
      </w:tr>
      <w:tr w:rsidR="00CA66C9" w:rsidRPr="007538E7" w14:paraId="6053F220" w14:textId="77777777" w:rsidTr="00A54758">
        <w:trPr>
          <w:trHeight w:val="1136"/>
        </w:trPr>
        <w:tc>
          <w:tcPr>
            <w:tcW w:w="3255" w:type="dxa"/>
            <w:shd w:val="clear" w:color="auto" w:fill="auto"/>
          </w:tcPr>
          <w:p w14:paraId="0E01E3F7" w14:textId="5D31BEC9" w:rsidR="00CA66C9" w:rsidRPr="007538E7" w:rsidRDefault="00A54758">
            <w:pPr>
              <w:spacing w:after="0" w:line="240" w:lineRule="auto"/>
              <w:rPr>
                <w:rFonts w:ascii="Times New Roman" w:hAnsi="Times New Roman" w:cs="Times New Roman"/>
              </w:rPr>
            </w:pPr>
            <w:r>
              <w:rPr>
                <w:rFonts w:ascii="Times New Roman" w:hAnsi="Times New Roman" w:cs="Times New Roman"/>
                <w:lang w:val="kk-KZ"/>
              </w:rPr>
              <w:lastRenderedPageBreak/>
              <w:t>С</w:t>
            </w:r>
            <w:r w:rsidRPr="007538E7">
              <w:rPr>
                <w:rFonts w:ascii="Times New Roman" w:hAnsi="Times New Roman" w:cs="Times New Roman"/>
              </w:rPr>
              <w:t xml:space="preserve">писок публикаций с указанием </w:t>
            </w:r>
            <w:r w:rsidRPr="007538E7">
              <w:rPr>
                <w:rFonts w:ascii="Times New Roman" w:hAnsi="Times New Roman" w:cs="Times New Roman"/>
                <w:lang w:val="en-US"/>
              </w:rPr>
              <w:t>DOI</w:t>
            </w:r>
            <w:r w:rsidRPr="007538E7">
              <w:rPr>
                <w:rFonts w:ascii="Times New Roman" w:hAnsi="Times New Roman" w:cs="Times New Roman"/>
              </w:rPr>
              <w:t xml:space="preserve"> (со ссылками на них) и патентов) опубликованных в рамках проекта</w:t>
            </w:r>
          </w:p>
        </w:tc>
        <w:tc>
          <w:tcPr>
            <w:tcW w:w="6089" w:type="dxa"/>
            <w:shd w:val="clear" w:color="auto" w:fill="auto"/>
          </w:tcPr>
          <w:p w14:paraId="22ED9B99" w14:textId="77777777" w:rsidR="00CA66C9" w:rsidRDefault="00CA66C9">
            <w:pPr>
              <w:spacing w:after="0" w:line="240" w:lineRule="auto"/>
              <w:rPr>
                <w:rFonts w:ascii="Times New Roman" w:hAnsi="Times New Roman" w:cs="Times New Roman"/>
              </w:rPr>
            </w:pPr>
          </w:p>
          <w:p w14:paraId="7D5C7DD3" w14:textId="330815BF" w:rsidR="00471C73" w:rsidRPr="007538E7" w:rsidRDefault="00471C73">
            <w:pPr>
              <w:spacing w:after="0" w:line="240" w:lineRule="auto"/>
              <w:rPr>
                <w:rFonts w:ascii="Times New Roman" w:hAnsi="Times New Roman" w:cs="Times New Roman"/>
              </w:rPr>
            </w:pPr>
            <w:r>
              <w:rPr>
                <w:rFonts w:ascii="Times New Roman" w:hAnsi="Times New Roman" w:cs="Times New Roman"/>
              </w:rPr>
              <w:t>нет</w:t>
            </w:r>
          </w:p>
        </w:tc>
      </w:tr>
    </w:tbl>
    <w:p w14:paraId="0F7C93D0" w14:textId="77777777" w:rsidR="00CA66C9" w:rsidRPr="007538E7" w:rsidRDefault="00CA66C9">
      <w:pPr>
        <w:rPr>
          <w:rFonts w:ascii="Times New Roman" w:hAnsi="Times New Roman" w:cs="Times New Roman"/>
        </w:rPr>
      </w:pPr>
    </w:p>
    <w:sectPr w:rsidR="00CA66C9" w:rsidRPr="007538E7">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1096E"/>
    <w:multiLevelType w:val="multilevel"/>
    <w:tmpl w:val="F1562D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515325"/>
    <w:multiLevelType w:val="hybridMultilevel"/>
    <w:tmpl w:val="FB2EC2EE"/>
    <w:lvl w:ilvl="0" w:tplc="9A74EF88">
      <w:start w:val="1"/>
      <w:numFmt w:val="bullet"/>
      <w:lvlText w:val="•"/>
      <w:lvlJc w:val="left"/>
      <w:pPr>
        <w:tabs>
          <w:tab w:val="num" w:pos="720"/>
        </w:tabs>
        <w:ind w:left="720" w:hanging="360"/>
      </w:pPr>
      <w:rPr>
        <w:rFonts w:ascii="Arial" w:hAnsi="Arial" w:hint="default"/>
      </w:rPr>
    </w:lvl>
    <w:lvl w:ilvl="1" w:tplc="FBD81ECC" w:tentative="1">
      <w:start w:val="1"/>
      <w:numFmt w:val="bullet"/>
      <w:lvlText w:val="•"/>
      <w:lvlJc w:val="left"/>
      <w:pPr>
        <w:tabs>
          <w:tab w:val="num" w:pos="1440"/>
        </w:tabs>
        <w:ind w:left="1440" w:hanging="360"/>
      </w:pPr>
      <w:rPr>
        <w:rFonts w:ascii="Arial" w:hAnsi="Arial" w:hint="default"/>
      </w:rPr>
    </w:lvl>
    <w:lvl w:ilvl="2" w:tplc="CA98D47C" w:tentative="1">
      <w:start w:val="1"/>
      <w:numFmt w:val="bullet"/>
      <w:lvlText w:val="•"/>
      <w:lvlJc w:val="left"/>
      <w:pPr>
        <w:tabs>
          <w:tab w:val="num" w:pos="2160"/>
        </w:tabs>
        <w:ind w:left="2160" w:hanging="360"/>
      </w:pPr>
      <w:rPr>
        <w:rFonts w:ascii="Arial" w:hAnsi="Arial" w:hint="default"/>
      </w:rPr>
    </w:lvl>
    <w:lvl w:ilvl="3" w:tplc="16F87A9C" w:tentative="1">
      <w:start w:val="1"/>
      <w:numFmt w:val="bullet"/>
      <w:lvlText w:val="•"/>
      <w:lvlJc w:val="left"/>
      <w:pPr>
        <w:tabs>
          <w:tab w:val="num" w:pos="2880"/>
        </w:tabs>
        <w:ind w:left="2880" w:hanging="360"/>
      </w:pPr>
      <w:rPr>
        <w:rFonts w:ascii="Arial" w:hAnsi="Arial" w:hint="default"/>
      </w:rPr>
    </w:lvl>
    <w:lvl w:ilvl="4" w:tplc="40E4F24A" w:tentative="1">
      <w:start w:val="1"/>
      <w:numFmt w:val="bullet"/>
      <w:lvlText w:val="•"/>
      <w:lvlJc w:val="left"/>
      <w:pPr>
        <w:tabs>
          <w:tab w:val="num" w:pos="3600"/>
        </w:tabs>
        <w:ind w:left="3600" w:hanging="360"/>
      </w:pPr>
      <w:rPr>
        <w:rFonts w:ascii="Arial" w:hAnsi="Arial" w:hint="default"/>
      </w:rPr>
    </w:lvl>
    <w:lvl w:ilvl="5" w:tplc="99480934" w:tentative="1">
      <w:start w:val="1"/>
      <w:numFmt w:val="bullet"/>
      <w:lvlText w:val="•"/>
      <w:lvlJc w:val="left"/>
      <w:pPr>
        <w:tabs>
          <w:tab w:val="num" w:pos="4320"/>
        </w:tabs>
        <w:ind w:left="4320" w:hanging="360"/>
      </w:pPr>
      <w:rPr>
        <w:rFonts w:ascii="Arial" w:hAnsi="Arial" w:hint="default"/>
      </w:rPr>
    </w:lvl>
    <w:lvl w:ilvl="6" w:tplc="5B9CE948" w:tentative="1">
      <w:start w:val="1"/>
      <w:numFmt w:val="bullet"/>
      <w:lvlText w:val="•"/>
      <w:lvlJc w:val="left"/>
      <w:pPr>
        <w:tabs>
          <w:tab w:val="num" w:pos="5040"/>
        </w:tabs>
        <w:ind w:left="5040" w:hanging="360"/>
      </w:pPr>
      <w:rPr>
        <w:rFonts w:ascii="Arial" w:hAnsi="Arial" w:hint="default"/>
      </w:rPr>
    </w:lvl>
    <w:lvl w:ilvl="7" w:tplc="FCB8BA30" w:tentative="1">
      <w:start w:val="1"/>
      <w:numFmt w:val="bullet"/>
      <w:lvlText w:val="•"/>
      <w:lvlJc w:val="left"/>
      <w:pPr>
        <w:tabs>
          <w:tab w:val="num" w:pos="5760"/>
        </w:tabs>
        <w:ind w:left="5760" w:hanging="360"/>
      </w:pPr>
      <w:rPr>
        <w:rFonts w:ascii="Arial" w:hAnsi="Arial" w:hint="default"/>
      </w:rPr>
    </w:lvl>
    <w:lvl w:ilvl="8" w:tplc="684451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5C0512"/>
    <w:multiLevelType w:val="multilevel"/>
    <w:tmpl w:val="7D0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826B2"/>
    <w:multiLevelType w:val="hybridMultilevel"/>
    <w:tmpl w:val="5B3C6124"/>
    <w:lvl w:ilvl="0" w:tplc="3D3A2DDA">
      <w:start w:val="1"/>
      <w:numFmt w:val="bullet"/>
      <w:lvlText w:val="•"/>
      <w:lvlJc w:val="left"/>
      <w:pPr>
        <w:tabs>
          <w:tab w:val="num" w:pos="720"/>
        </w:tabs>
        <w:ind w:left="720" w:hanging="360"/>
      </w:pPr>
      <w:rPr>
        <w:rFonts w:ascii="Arial" w:hAnsi="Arial" w:hint="default"/>
      </w:rPr>
    </w:lvl>
    <w:lvl w:ilvl="1" w:tplc="5AA61194" w:tentative="1">
      <w:start w:val="1"/>
      <w:numFmt w:val="bullet"/>
      <w:lvlText w:val="•"/>
      <w:lvlJc w:val="left"/>
      <w:pPr>
        <w:tabs>
          <w:tab w:val="num" w:pos="1440"/>
        </w:tabs>
        <w:ind w:left="1440" w:hanging="360"/>
      </w:pPr>
      <w:rPr>
        <w:rFonts w:ascii="Arial" w:hAnsi="Arial" w:hint="default"/>
      </w:rPr>
    </w:lvl>
    <w:lvl w:ilvl="2" w:tplc="D39EEF4E" w:tentative="1">
      <w:start w:val="1"/>
      <w:numFmt w:val="bullet"/>
      <w:lvlText w:val="•"/>
      <w:lvlJc w:val="left"/>
      <w:pPr>
        <w:tabs>
          <w:tab w:val="num" w:pos="2160"/>
        </w:tabs>
        <w:ind w:left="2160" w:hanging="360"/>
      </w:pPr>
      <w:rPr>
        <w:rFonts w:ascii="Arial" w:hAnsi="Arial" w:hint="default"/>
      </w:rPr>
    </w:lvl>
    <w:lvl w:ilvl="3" w:tplc="2800CFFA" w:tentative="1">
      <w:start w:val="1"/>
      <w:numFmt w:val="bullet"/>
      <w:lvlText w:val="•"/>
      <w:lvlJc w:val="left"/>
      <w:pPr>
        <w:tabs>
          <w:tab w:val="num" w:pos="2880"/>
        </w:tabs>
        <w:ind w:left="2880" w:hanging="360"/>
      </w:pPr>
      <w:rPr>
        <w:rFonts w:ascii="Arial" w:hAnsi="Arial" w:hint="default"/>
      </w:rPr>
    </w:lvl>
    <w:lvl w:ilvl="4" w:tplc="6070236A" w:tentative="1">
      <w:start w:val="1"/>
      <w:numFmt w:val="bullet"/>
      <w:lvlText w:val="•"/>
      <w:lvlJc w:val="left"/>
      <w:pPr>
        <w:tabs>
          <w:tab w:val="num" w:pos="3600"/>
        </w:tabs>
        <w:ind w:left="3600" w:hanging="360"/>
      </w:pPr>
      <w:rPr>
        <w:rFonts w:ascii="Arial" w:hAnsi="Arial" w:hint="default"/>
      </w:rPr>
    </w:lvl>
    <w:lvl w:ilvl="5" w:tplc="E83E0EE2" w:tentative="1">
      <w:start w:val="1"/>
      <w:numFmt w:val="bullet"/>
      <w:lvlText w:val="•"/>
      <w:lvlJc w:val="left"/>
      <w:pPr>
        <w:tabs>
          <w:tab w:val="num" w:pos="4320"/>
        </w:tabs>
        <w:ind w:left="4320" w:hanging="360"/>
      </w:pPr>
      <w:rPr>
        <w:rFonts w:ascii="Arial" w:hAnsi="Arial" w:hint="default"/>
      </w:rPr>
    </w:lvl>
    <w:lvl w:ilvl="6" w:tplc="57C8ED30" w:tentative="1">
      <w:start w:val="1"/>
      <w:numFmt w:val="bullet"/>
      <w:lvlText w:val="•"/>
      <w:lvlJc w:val="left"/>
      <w:pPr>
        <w:tabs>
          <w:tab w:val="num" w:pos="5040"/>
        </w:tabs>
        <w:ind w:left="5040" w:hanging="360"/>
      </w:pPr>
      <w:rPr>
        <w:rFonts w:ascii="Arial" w:hAnsi="Arial" w:hint="default"/>
      </w:rPr>
    </w:lvl>
    <w:lvl w:ilvl="7" w:tplc="FBFA415C" w:tentative="1">
      <w:start w:val="1"/>
      <w:numFmt w:val="bullet"/>
      <w:lvlText w:val="•"/>
      <w:lvlJc w:val="left"/>
      <w:pPr>
        <w:tabs>
          <w:tab w:val="num" w:pos="5760"/>
        </w:tabs>
        <w:ind w:left="5760" w:hanging="360"/>
      </w:pPr>
      <w:rPr>
        <w:rFonts w:ascii="Arial" w:hAnsi="Arial" w:hint="default"/>
      </w:rPr>
    </w:lvl>
    <w:lvl w:ilvl="8" w:tplc="CAF261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8B33D2"/>
    <w:multiLevelType w:val="multilevel"/>
    <w:tmpl w:val="595CA654"/>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9"/>
    <w:rsid w:val="000538D1"/>
    <w:rsid w:val="000628E8"/>
    <w:rsid w:val="001E6458"/>
    <w:rsid w:val="00471C73"/>
    <w:rsid w:val="007538E7"/>
    <w:rsid w:val="00A54758"/>
    <w:rsid w:val="00AD18F4"/>
    <w:rsid w:val="00CA66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4909F7"/>
  <w15:docId w15:val="{829D2749-C8C0-47D3-ADAA-00BF43A0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2">
    <w:name w:val="heading 2"/>
    <w:basedOn w:val="a0"/>
    <w:next w:val="a1"/>
    <w:qFormat/>
    <w:pPr>
      <w:spacing w:before="200"/>
      <w:outlineLvl w:val="1"/>
    </w:pPr>
    <w:rPr>
      <w:rFonts w:ascii="Times New Roman" w:eastAsia="Segoe UI" w:hAnsi="Times New Roman"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pple-style-span">
    <w:name w:val="apple-style-span"/>
    <w:qFormat/>
    <w:rPr>
      <w:rFonts w:cs="Times New Roman"/>
    </w:rPr>
  </w:style>
  <w:style w:type="character" w:customStyle="1" w:styleId="a5">
    <w:name w:val="Маркеры списка"/>
    <w:qFormat/>
    <w:rPr>
      <w:rFonts w:ascii="OpenSymbol" w:eastAsia="OpenSymbol" w:hAnsi="OpenSymbol" w:cs="OpenSymbol"/>
    </w:rPr>
  </w:style>
  <w:style w:type="character" w:customStyle="1" w:styleId="a6">
    <w:name w:val="Символ нумерации"/>
    <w:qFormat/>
  </w:style>
  <w:style w:type="character" w:customStyle="1" w:styleId="-">
    <w:name w:val="Интернет-ссылка"/>
    <w:rPr>
      <w:color w:val="000080"/>
      <w:u w:val="single"/>
    </w:rPr>
  </w:style>
  <w:style w:type="paragraph" w:styleId="a0">
    <w:name w:val="Title"/>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7">
    <w:name w:val="List"/>
    <w:basedOn w:val="a1"/>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numbering" w:customStyle="1" w:styleId="1">
    <w:name w:val="Маркированный список 1"/>
    <w:qFormat/>
  </w:style>
  <w:style w:type="table" w:styleId="aa">
    <w:name w:val="Table Grid"/>
    <w:basedOn w:val="a3"/>
    <w:uiPriority w:val="39"/>
    <w:rsid w:val="00F9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2"/>
    <w:uiPriority w:val="99"/>
    <w:unhideWhenUsed/>
    <w:rsid w:val="007538E7"/>
    <w:rPr>
      <w:color w:val="0563C1" w:themeColor="hyperlink"/>
      <w:u w:val="single"/>
    </w:rPr>
  </w:style>
  <w:style w:type="character" w:customStyle="1" w:styleId="normaltextrun">
    <w:name w:val="normaltextrun"/>
    <w:basedOn w:val="a2"/>
    <w:rsid w:val="007538E7"/>
    <w:rPr>
      <w:rFonts w:cs="Times New Roman"/>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uiPriority w:val="99"/>
    <w:rsid w:val="00471C73"/>
    <w:pPr>
      <w:suppressAutoHyphens/>
      <w:spacing w:before="280" w:after="280" w:line="240" w:lineRule="auto"/>
    </w:pPr>
    <w:rPr>
      <w:rFonts w:ascii="Times New Roman" w:eastAsia="Calibri" w:hAnsi="Times New Roman" w:cs="Times New Roman"/>
      <w:sz w:val="24"/>
      <w:szCs w:val="24"/>
      <w:lang w:eastAsia="ar-SA"/>
    </w:rPr>
  </w:style>
  <w:style w:type="character" w:customStyle="1" w:styleId="ad">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471C73"/>
    <w:rPr>
      <w:rFonts w:ascii="Times New Roman" w:eastAsia="Calibri" w:hAnsi="Times New Roman" w:cs="Times New Roman"/>
      <w:sz w:val="24"/>
      <w:szCs w:val="24"/>
      <w:lang w:eastAsia="ar-SA"/>
    </w:rPr>
  </w:style>
  <w:style w:type="paragraph" w:customStyle="1" w:styleId="ListParagraph">
    <w:name w:val="List Paragraph"/>
    <w:basedOn w:val="a"/>
    <w:link w:val="ListParagraphChar"/>
    <w:rsid w:val="00471C73"/>
    <w:pPr>
      <w:spacing w:after="200" w:line="276" w:lineRule="auto"/>
      <w:ind w:left="720"/>
      <w:contextualSpacing/>
    </w:pPr>
    <w:rPr>
      <w:rFonts w:ascii="Calibri" w:eastAsia="Times New Roman" w:hAnsi="Calibri" w:cs="Times New Roman"/>
      <w:sz w:val="20"/>
      <w:szCs w:val="20"/>
      <w:lang w:eastAsia="ru-RU"/>
    </w:rPr>
  </w:style>
  <w:style w:type="character" w:customStyle="1" w:styleId="ListParagraphChar">
    <w:name w:val="List Paragraph Char"/>
    <w:link w:val="ListParagraph"/>
    <w:locked/>
    <w:rsid w:val="00471C73"/>
    <w:rPr>
      <w:rFonts w:ascii="Calibri" w:eastAsia="Times New Roman" w:hAnsi="Calibri" w:cs="Times New Roman"/>
      <w:sz w:val="20"/>
      <w:szCs w:val="20"/>
      <w:lang w:eastAsia="ru-RU"/>
    </w:rPr>
  </w:style>
  <w:style w:type="character" w:customStyle="1" w:styleId="apple-converted-space">
    <w:name w:val="apple-converted-space"/>
    <w:rsid w:val="00471C73"/>
  </w:style>
  <w:style w:type="character" w:customStyle="1" w:styleId="authoridinfoicon-modulehjujs">
    <w:name w:val="authoridinfoicon-module__hjujs"/>
    <w:basedOn w:val="a2"/>
    <w:rsid w:val="000628E8"/>
  </w:style>
  <w:style w:type="character" w:customStyle="1" w:styleId="sr-only">
    <w:name w:val="sr-only"/>
    <w:basedOn w:val="a2"/>
    <w:rsid w:val="000628E8"/>
  </w:style>
  <w:style w:type="character" w:customStyle="1" w:styleId="linktext">
    <w:name w:val="link__text"/>
    <w:basedOn w:val="a2"/>
    <w:rsid w:val="0006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770608">
      <w:bodyDiv w:val="1"/>
      <w:marLeft w:val="0"/>
      <w:marRight w:val="0"/>
      <w:marTop w:val="0"/>
      <w:marBottom w:val="0"/>
      <w:divBdr>
        <w:top w:val="none" w:sz="0" w:space="0" w:color="auto"/>
        <w:left w:val="none" w:sz="0" w:space="0" w:color="auto"/>
        <w:bottom w:val="none" w:sz="0" w:space="0" w:color="auto"/>
        <w:right w:val="none" w:sz="0" w:space="0" w:color="auto"/>
      </w:divBdr>
      <w:divsChild>
        <w:div w:id="1634216655">
          <w:marLeft w:val="0"/>
          <w:marRight w:val="0"/>
          <w:marTop w:val="0"/>
          <w:marBottom w:val="0"/>
          <w:divBdr>
            <w:top w:val="none" w:sz="0" w:space="0" w:color="auto"/>
            <w:left w:val="none" w:sz="0" w:space="0" w:color="auto"/>
            <w:bottom w:val="none" w:sz="0" w:space="0" w:color="auto"/>
            <w:right w:val="none" w:sz="0" w:space="0" w:color="auto"/>
          </w:divBdr>
          <w:divsChild>
            <w:div w:id="7230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0437-8820" TargetMode="External"/><Relationship Id="rId5" Type="http://schemas.openxmlformats.org/officeDocument/2006/relationships/hyperlink" Target="https://www.scopus.com/redirect.uri?url=https://orcid.org/0000-0002-2555-9340&amp;authorId=57210290727&amp;origin=AuthorProfile&amp;orcId=0000-0002-2555-9340&amp;category=orcidLi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 B. Kenzhaliyev</dc:creator>
  <dc:description/>
  <cp:lastModifiedBy>Aitbek Akhmetzhanov</cp:lastModifiedBy>
  <cp:revision>2</cp:revision>
  <dcterms:created xsi:type="dcterms:W3CDTF">2022-10-20T07:24:00Z</dcterms:created>
  <dcterms:modified xsi:type="dcterms:W3CDTF">2022-10-20T07:24:00Z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